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宋体" w:hAnsi="宋体"/>
          <w:bCs/>
          <w:sz w:val="44"/>
          <w:szCs w:val="44"/>
          <w:lang w:val="en-US" w:eastAsia="zh-CN"/>
        </w:rPr>
      </w:pPr>
    </w:p>
    <w:p>
      <w:pPr>
        <w:spacing w:line="560" w:lineRule="exact"/>
        <w:jc w:val="center"/>
        <w:rPr>
          <w:rFonts w:ascii="宋体" w:hAnsi="宋体"/>
          <w:b/>
          <w:bCs w:val="0"/>
          <w:sz w:val="44"/>
          <w:szCs w:val="44"/>
        </w:rPr>
      </w:pPr>
      <w:r>
        <w:rPr>
          <w:rFonts w:hint="eastAsia" w:ascii="宋体" w:hAnsi="宋体"/>
          <w:b/>
          <w:bCs w:val="0"/>
          <w:sz w:val="44"/>
          <w:szCs w:val="44"/>
          <w:lang w:val="en-US" w:eastAsia="zh-CN"/>
        </w:rPr>
        <w:t>21.</w:t>
      </w:r>
      <w:r>
        <w:rPr>
          <w:rFonts w:hint="eastAsia" w:ascii="宋体" w:hAnsi="宋体"/>
          <w:b/>
          <w:bCs w:val="0"/>
          <w:sz w:val="44"/>
          <w:szCs w:val="44"/>
        </w:rPr>
        <w:t>建立古树名木档案和标记事中事后监管细则</w:t>
      </w:r>
    </w:p>
    <w:p>
      <w:pPr>
        <w:spacing w:line="560" w:lineRule="exact"/>
        <w:ind w:firstLine="883" w:firstLineChars="200"/>
        <w:jc w:val="center"/>
        <w:rPr>
          <w:rFonts w:ascii="仿宋_GB2312" w:hAnsi="楷体"/>
          <w:b/>
          <w:bCs w:val="0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为加强古树名木保护，形成长效机制，进一步推进我县古树名木保护工作的发展，根据《城市绿化条例》（国务院令第100号）（以下称《条例》</w:t>
      </w:r>
      <w:bookmarkStart w:id="0" w:name="_GoBack"/>
      <w:bookmarkEnd w:id="0"/>
      <w:r>
        <w:rPr>
          <w:rFonts w:hint="eastAsia" w:ascii="仿宋" w:hAnsi="仿宋" w:eastAsia="仿宋"/>
          <w:kern w:val="0"/>
          <w:sz w:val="32"/>
          <w:szCs w:val="32"/>
        </w:rPr>
        <w:t>）等法律规定，制定本细则。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本细则对应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《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祁门县人民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政府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县级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权责清单（20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版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）》</w:t>
      </w:r>
      <w:r>
        <w:rPr>
          <w:rFonts w:hint="eastAsia" w:ascii="仿宋" w:hAnsi="仿宋" w:eastAsia="仿宋"/>
          <w:sz w:val="32"/>
          <w:szCs w:val="32"/>
        </w:rPr>
        <w:t>祁门县住房和城乡建设局</w:t>
      </w:r>
      <w:r>
        <w:rPr>
          <w:rFonts w:hint="eastAsia" w:ascii="仿宋" w:hAnsi="仿宋" w:eastAsia="仿宋"/>
          <w:sz w:val="32"/>
          <w:szCs w:val="32"/>
          <w:lang w:eastAsia="zh-CN"/>
        </w:rPr>
        <w:t>权责清单</w:t>
      </w:r>
      <w:r>
        <w:rPr>
          <w:rFonts w:hint="eastAsia" w:ascii="仿宋" w:hAnsi="仿宋" w:eastAsia="仿宋"/>
          <w:kern w:val="0"/>
          <w:sz w:val="32"/>
          <w:szCs w:val="32"/>
        </w:rPr>
        <w:t>第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/>
          <w:kern w:val="0"/>
          <w:sz w:val="32"/>
          <w:szCs w:val="32"/>
        </w:rPr>
        <w:t>项，权力类型：行政确认，项目名称：建立古树名木档案和标记。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一、监管事项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根据法律法规要求，对我县建立古树名木档案和标记事项进行事中事后监管。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二、监管措施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 xml:space="preserve">（一）流程监管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1.规范受理工作。符合受理条件的，依法受理；不符合受理条件的，告知理由；需要补正材料的，一次性告知。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2.强化廉政风险防控。主要对受理、材料审查、现场复核可等廉政风险点进行管理，强化权力运行制约监督。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（二）责任监管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/>
          <w:kern w:val="0"/>
          <w:sz w:val="32"/>
          <w:szCs w:val="32"/>
        </w:rPr>
        <w:t>1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kern w:val="0"/>
          <w:sz w:val="32"/>
          <w:szCs w:val="32"/>
        </w:rPr>
        <w:t>受理责任：一次性告知补正材料、依法受理或不予受理（不予受理的应当告知理由）。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/>
          <w:kern w:val="0"/>
          <w:sz w:val="32"/>
          <w:szCs w:val="32"/>
        </w:rPr>
        <w:t>2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kern w:val="0"/>
          <w:sz w:val="32"/>
          <w:szCs w:val="32"/>
        </w:rPr>
        <w:t>审查责任：材料审核、提出预审意见。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/>
          <w:kern w:val="0"/>
          <w:sz w:val="32"/>
          <w:szCs w:val="32"/>
        </w:rPr>
        <w:t>3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kern w:val="0"/>
          <w:sz w:val="32"/>
          <w:szCs w:val="32"/>
        </w:rPr>
        <w:t>决定责任：做出决定（不予办理的应当告知理由），按时办结，法定告知。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/>
          <w:kern w:val="0"/>
          <w:sz w:val="32"/>
          <w:szCs w:val="32"/>
        </w:rPr>
        <w:t> 4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kern w:val="0"/>
          <w:sz w:val="32"/>
          <w:szCs w:val="32"/>
        </w:rPr>
        <w:t>送达责任：制作送达文书。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/>
          <w:kern w:val="0"/>
          <w:sz w:val="32"/>
          <w:szCs w:val="32"/>
        </w:rPr>
        <w:t> 5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kern w:val="0"/>
          <w:sz w:val="32"/>
          <w:szCs w:val="32"/>
        </w:rPr>
        <w:t>事后监管责任：加强监督检查。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 6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kern w:val="0"/>
          <w:sz w:val="32"/>
          <w:szCs w:val="32"/>
        </w:rPr>
        <w:t>其他法律法规政策规定应履行的责任。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（三）监督检查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1.</w:t>
      </w:r>
      <w:r>
        <w:rPr>
          <w:rFonts w:ascii="仿宋" w:hAnsi="仿宋" w:eastAsia="仿宋"/>
          <w:kern w:val="0"/>
          <w:sz w:val="32"/>
          <w:szCs w:val="32"/>
        </w:rPr>
        <w:t>检查</w:t>
      </w:r>
      <w:r>
        <w:rPr>
          <w:rFonts w:hint="eastAsia" w:ascii="仿宋" w:hAnsi="仿宋" w:eastAsia="仿宋"/>
          <w:kern w:val="0"/>
          <w:sz w:val="32"/>
          <w:szCs w:val="32"/>
        </w:rPr>
        <w:t>古树名木</w:t>
      </w:r>
      <w:r>
        <w:rPr>
          <w:rFonts w:ascii="仿宋" w:hAnsi="仿宋" w:eastAsia="仿宋"/>
          <w:kern w:val="0"/>
          <w:sz w:val="32"/>
          <w:szCs w:val="32"/>
        </w:rPr>
        <w:t>基本情况是否填写完整、规范；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2.</w:t>
      </w:r>
      <w:r>
        <w:rPr>
          <w:rFonts w:ascii="仿宋" w:hAnsi="仿宋" w:eastAsia="仿宋"/>
          <w:kern w:val="0"/>
          <w:sz w:val="32"/>
          <w:szCs w:val="32"/>
        </w:rPr>
        <w:t>检查</w:t>
      </w:r>
      <w:r>
        <w:rPr>
          <w:rFonts w:hint="eastAsia" w:ascii="仿宋" w:hAnsi="仿宋" w:eastAsia="仿宋"/>
          <w:kern w:val="0"/>
          <w:sz w:val="32"/>
          <w:szCs w:val="32"/>
        </w:rPr>
        <w:t>古树名木</w:t>
      </w:r>
      <w:r>
        <w:rPr>
          <w:rFonts w:ascii="仿宋" w:hAnsi="仿宋" w:eastAsia="仿宋"/>
          <w:kern w:val="0"/>
          <w:sz w:val="32"/>
          <w:szCs w:val="32"/>
        </w:rPr>
        <w:t>评定套用标准是否准确；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3.</w:t>
      </w:r>
      <w:r>
        <w:rPr>
          <w:rFonts w:ascii="仿宋" w:hAnsi="仿宋" w:eastAsia="仿宋"/>
          <w:kern w:val="0"/>
          <w:sz w:val="32"/>
          <w:szCs w:val="32"/>
        </w:rPr>
        <w:t>检查鉴定结论是否与</w:t>
      </w:r>
      <w:r>
        <w:rPr>
          <w:rFonts w:hint="eastAsia" w:ascii="仿宋" w:hAnsi="仿宋" w:eastAsia="仿宋"/>
          <w:kern w:val="0"/>
          <w:sz w:val="32"/>
          <w:szCs w:val="32"/>
        </w:rPr>
        <w:t>古树名木</w:t>
      </w:r>
      <w:r>
        <w:rPr>
          <w:rFonts w:ascii="仿宋" w:hAnsi="仿宋" w:eastAsia="仿宋"/>
          <w:kern w:val="0"/>
          <w:sz w:val="32"/>
          <w:szCs w:val="32"/>
        </w:rPr>
        <w:t>情况相符合。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三、责任追究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>严格查处违法违规鉴定行为。</w:t>
      </w:r>
      <w:r>
        <w:rPr>
          <w:rFonts w:hint="eastAsia" w:ascii="仿宋" w:hAnsi="仿宋" w:eastAsia="仿宋"/>
          <w:kern w:val="0"/>
          <w:sz w:val="32"/>
          <w:szCs w:val="32"/>
        </w:rPr>
        <w:t>按照相关的法律、法规</w:t>
      </w:r>
      <w:r>
        <w:rPr>
          <w:rFonts w:ascii="仿宋" w:hAnsi="仿宋" w:eastAsia="仿宋"/>
          <w:kern w:val="0"/>
          <w:sz w:val="32"/>
          <w:szCs w:val="32"/>
        </w:rPr>
        <w:t>对发现的违法违规鉴定行为，及时督促整改</w:t>
      </w:r>
      <w:r>
        <w:rPr>
          <w:rFonts w:hint="eastAsia" w:ascii="仿宋" w:hAnsi="仿宋" w:eastAsia="仿宋"/>
          <w:kern w:val="0"/>
          <w:sz w:val="32"/>
          <w:szCs w:val="32"/>
        </w:rPr>
        <w:t>，情节严重的给予相应的处罚。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四、保障措施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1.加强组织协调。强化组织领导，健全协调机制，落实监管措施，确保事中事后监管工作有序推进。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2.强化人员培训。加强对相关工作人员有关法律、法规、标准和专业知识与执法能力培训，提高办事人员素质。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五、主要依据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/>
          <w:kern w:val="0"/>
          <w:sz w:val="32"/>
          <w:szCs w:val="32"/>
        </w:rPr>
        <w:t>《城市绿化条例》（国务院令第100号）第二十四条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/>
          <w:kern w:val="0"/>
          <w:sz w:val="32"/>
          <w:szCs w:val="32"/>
        </w:rPr>
        <w:t>《安徽省古树名木保护条例》第五条第二款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。</w:t>
      </w:r>
    </w:p>
    <w:p>
      <w:pPr>
        <w:rPr>
          <w:rFonts w:ascii="仿宋" w:hAnsi="仿宋" w:eastAsia="仿宋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kMTE2MDY1YjBhZTliODY2MjhhMzAyMjhkZGFjNjIifQ=="/>
  </w:docVars>
  <w:rsids>
    <w:rsidRoot w:val="2BEE5AF9"/>
    <w:rsid w:val="2BEE5AF9"/>
    <w:rsid w:val="74014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2024-01-18T06:21:00Z</dcterms:created>
  <dc:creator>沉默的小布芬</dc:creator>
  <cp:lastModifiedBy>沉默的小布芬</cp:lastModifiedBy>
  <dcterms:modified xsi:type="dcterms:W3CDTF">2024-01-18T06:54:37Z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C1EA57D999794EC0AA459FEB6608E50E_11</vt:lpwstr>
  </property>
</Properties>
</file>